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A992" w14:textId="6BD08A98" w:rsidR="009D769F" w:rsidRPr="004379B2" w:rsidRDefault="004379B2">
      <w:pPr>
        <w:rPr>
          <w:rFonts w:cstheme="minorHAnsi"/>
          <w:sz w:val="28"/>
          <w:szCs w:val="28"/>
        </w:rPr>
      </w:pPr>
      <w:r w:rsidRPr="004379B2">
        <w:rPr>
          <w:rFonts w:cstheme="minorHAnsi"/>
          <w:sz w:val="28"/>
          <w:szCs w:val="28"/>
        </w:rPr>
        <w:t>9 Monivalintoja</w:t>
      </w:r>
    </w:p>
    <w:p w14:paraId="0C51CF98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1. Kun sisäelinten elin on </w:t>
      </w:r>
      <w:proofErr w:type="spellStart"/>
      <w:r w:rsidRPr="004379B2">
        <w:rPr>
          <w:rFonts w:cstheme="minorHAnsi"/>
          <w:color w:val="000000"/>
          <w:kern w:val="0"/>
          <w:sz w:val="28"/>
          <w:szCs w:val="28"/>
        </w:rPr>
        <w:t>denervoitunut</w:t>
      </w:r>
      <w:proofErr w:type="spellEnd"/>
      <w:r w:rsidRPr="004379B2">
        <w:rPr>
          <w:rFonts w:cstheme="minorHAnsi"/>
          <w:color w:val="000000"/>
          <w:kern w:val="0"/>
          <w:sz w:val="28"/>
          <w:szCs w:val="28"/>
        </w:rPr>
        <w:t>,</w:t>
      </w:r>
    </w:p>
    <w:p w14:paraId="3995B6B0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a. se lakkaa toimimasta.</w:t>
      </w:r>
    </w:p>
    <w:p w14:paraId="5065FA83" w14:textId="0A607F5D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b. se tulee vähemmän herkäksi myöhemmälle välittäjäaineiden stimulaatiolle.</w:t>
      </w:r>
    </w:p>
    <w:p w14:paraId="73484868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siitä tulee yliherkkä myöhemmälle stimulaatiolle.</w:t>
      </w:r>
    </w:p>
    <w:p w14:paraId="425532F1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70EAF4C" w14:textId="209D01A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2. Parasympaattiset gangliot sijaitsevat</w:t>
      </w:r>
    </w:p>
    <w:p w14:paraId="4967D7A4" w14:textId="7A4F396B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a. ketjuss</w:t>
      </w:r>
      <w:r w:rsidR="00C67F0C">
        <w:rPr>
          <w:rFonts w:cstheme="minorHAnsi"/>
          <w:color w:val="000000"/>
          <w:kern w:val="0"/>
          <w:sz w:val="28"/>
          <w:szCs w:val="28"/>
        </w:rPr>
        <w:t xml:space="preserve">a </w:t>
      </w:r>
      <w:r w:rsidRPr="004379B2">
        <w:rPr>
          <w:rFonts w:cstheme="minorHAnsi"/>
          <w:color w:val="000000"/>
          <w:kern w:val="0"/>
          <w:sz w:val="28"/>
          <w:szCs w:val="28"/>
        </w:rPr>
        <w:t>yhdensuuntai</w:t>
      </w:r>
      <w:r w:rsidR="00C67F0C">
        <w:rPr>
          <w:rFonts w:cstheme="minorHAnsi"/>
          <w:color w:val="000000"/>
          <w:kern w:val="0"/>
          <w:sz w:val="28"/>
          <w:szCs w:val="28"/>
        </w:rPr>
        <w:t xml:space="preserve">sesti </w:t>
      </w:r>
      <w:r w:rsidRPr="004379B2">
        <w:rPr>
          <w:rFonts w:cstheme="minorHAnsi"/>
          <w:color w:val="000000"/>
          <w:kern w:val="0"/>
          <w:sz w:val="28"/>
          <w:szCs w:val="28"/>
        </w:rPr>
        <w:t>selkäytimen kanssa.</w:t>
      </w:r>
    </w:p>
    <w:p w14:paraId="2FC89109" w14:textId="4B026685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b. selkäydinhermojen </w:t>
      </w:r>
      <w:r w:rsidR="00C67F0C">
        <w:rPr>
          <w:rFonts w:cstheme="minorHAnsi"/>
          <w:color w:val="000000"/>
          <w:kern w:val="0"/>
          <w:sz w:val="28"/>
          <w:szCs w:val="28"/>
        </w:rPr>
        <w:t>taka</w:t>
      </w:r>
      <w:r w:rsidRPr="004379B2">
        <w:rPr>
          <w:rFonts w:cstheme="minorHAnsi"/>
          <w:color w:val="000000"/>
          <w:kern w:val="0"/>
          <w:sz w:val="28"/>
          <w:szCs w:val="28"/>
        </w:rPr>
        <w:t>juurissa.</w:t>
      </w:r>
    </w:p>
    <w:p w14:paraId="3C70D3AC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hermotettujen elinten vieressä tai sisällä.</w:t>
      </w:r>
    </w:p>
    <w:p w14:paraId="4F753950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d. aivoissa.</w:t>
      </w:r>
    </w:p>
    <w:p w14:paraId="0E5434CE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70F7A7E" w14:textId="2A3BD42A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3. Preganglionisten sympaattisten kuitujen välittäjäaine on</w:t>
      </w:r>
    </w:p>
    <w:p w14:paraId="15C4E643" w14:textId="77777777" w:rsid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a. noradrenaliini. </w:t>
      </w:r>
    </w:p>
    <w:p w14:paraId="61B564AA" w14:textId="137270D3" w:rsidR="00C67F0C" w:rsidRDefault="00C67F0C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b. </w:t>
      </w:r>
      <w:r>
        <w:rPr>
          <w:rFonts w:cstheme="minorHAnsi"/>
          <w:color w:val="000000"/>
          <w:kern w:val="0"/>
          <w:sz w:val="28"/>
          <w:szCs w:val="28"/>
        </w:rPr>
        <w:t>adrenaliini</w:t>
      </w:r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47DAE24E" w14:textId="3DC24A9E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asetyylikoliini.</w:t>
      </w:r>
    </w:p>
    <w:p w14:paraId="33289C75" w14:textId="188D1FD1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d. dopamiini.</w:t>
      </w:r>
    </w:p>
    <w:p w14:paraId="469391B0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02311279" w14:textId="56E3E54A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4. Mitkä näistä johtuvat alfa-adrenergisten reseptorien stimulaatiosta?</w:t>
      </w:r>
    </w:p>
    <w:p w14:paraId="2F9E5398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a. Verisuonten supistuminen</w:t>
      </w:r>
    </w:p>
    <w:p w14:paraId="67F9CB6E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b. Keuhkoputkien laajentuminen</w:t>
      </w:r>
    </w:p>
    <w:p w14:paraId="74FE2A4D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Sydämen sykkeen hidastuminen</w:t>
      </w:r>
    </w:p>
    <w:p w14:paraId="55A9C907" w14:textId="285EF7A4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d. Hikirauhasen eritys</w:t>
      </w:r>
      <w:r w:rsidR="00C67F0C">
        <w:rPr>
          <w:rFonts w:cstheme="minorHAnsi"/>
          <w:color w:val="000000"/>
          <w:kern w:val="0"/>
          <w:sz w:val="28"/>
          <w:szCs w:val="28"/>
        </w:rPr>
        <w:t>.</w:t>
      </w:r>
    </w:p>
    <w:p w14:paraId="5720E95B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D91F186" w14:textId="60656549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5. Mitkä näistä </w:t>
      </w:r>
      <w:r w:rsidR="00C67F0C">
        <w:rPr>
          <w:rFonts w:cstheme="minorHAnsi"/>
          <w:color w:val="000000"/>
          <w:kern w:val="0"/>
          <w:sz w:val="28"/>
          <w:szCs w:val="28"/>
        </w:rPr>
        <w:t>päätejaloista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vapauttavat noradrenaliinia?</w:t>
      </w:r>
    </w:p>
    <w:p w14:paraId="12EB95AC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4379B2">
        <w:rPr>
          <w:rFonts w:cstheme="minorHAnsi"/>
          <w:color w:val="000000"/>
          <w:kern w:val="0"/>
          <w:sz w:val="28"/>
          <w:szCs w:val="28"/>
        </w:rPr>
        <w:t>Preganglioniset</w:t>
      </w:r>
      <w:proofErr w:type="spellEnd"/>
      <w:r w:rsidRPr="004379B2">
        <w:rPr>
          <w:rFonts w:cstheme="minorHAnsi"/>
          <w:color w:val="000000"/>
          <w:kern w:val="0"/>
          <w:sz w:val="28"/>
          <w:szCs w:val="28"/>
        </w:rPr>
        <w:t xml:space="preserve"> parasympaattiset kuidut</w:t>
      </w:r>
    </w:p>
    <w:p w14:paraId="72D9A1DA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b. Postganglioniset parasympaattiset kuidut</w:t>
      </w:r>
    </w:p>
    <w:p w14:paraId="22231525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Postganglioniset sympaattiset kuidut sydämessä</w:t>
      </w:r>
    </w:p>
    <w:p w14:paraId="36EEE41D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d. Postganglioniset sympaattiset kuidut hikirauhasissa</w:t>
      </w:r>
    </w:p>
    <w:p w14:paraId="05B204CE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e. Kaikki nämä</w:t>
      </w:r>
    </w:p>
    <w:p w14:paraId="196F0544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8"/>
          <w:szCs w:val="28"/>
        </w:rPr>
      </w:pPr>
      <w:r w:rsidRPr="004379B2">
        <w:rPr>
          <w:rFonts w:cstheme="minorHAnsi"/>
          <w:color w:val="FFFFFF"/>
          <w:kern w:val="0"/>
          <w:sz w:val="28"/>
          <w:szCs w:val="28"/>
        </w:rPr>
        <w:t>TARKISTA TOIMET</w:t>
      </w:r>
    </w:p>
    <w:p w14:paraId="037FC739" w14:textId="7AEE1BD9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6. Sympaattisten ja parasympaattisten </w:t>
      </w:r>
      <w:r w:rsidR="00C67F0C">
        <w:rPr>
          <w:rFonts w:cstheme="minorHAnsi"/>
          <w:color w:val="000000"/>
          <w:kern w:val="0"/>
          <w:sz w:val="28"/>
          <w:szCs w:val="28"/>
        </w:rPr>
        <w:t>hermostojen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vaikutukset ovat </w:t>
      </w:r>
      <w:r w:rsidR="00C67F0C">
        <w:rPr>
          <w:rFonts w:cstheme="minorHAnsi"/>
          <w:color w:val="000000"/>
          <w:kern w:val="0"/>
          <w:sz w:val="28"/>
          <w:szCs w:val="28"/>
        </w:rPr>
        <w:t xml:space="preserve">läheisessä </w:t>
      </w:r>
      <w:r w:rsidRPr="004379B2">
        <w:rPr>
          <w:rFonts w:cstheme="minorHAnsi"/>
          <w:color w:val="000000"/>
          <w:kern w:val="0"/>
          <w:sz w:val="28"/>
          <w:szCs w:val="28"/>
        </w:rPr>
        <w:t>yhteistyössä</w:t>
      </w:r>
    </w:p>
    <w:p w14:paraId="13334870" w14:textId="524BD413" w:rsid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a. sydä</w:t>
      </w:r>
      <w:r w:rsidR="00C67F0C">
        <w:rPr>
          <w:rFonts w:cstheme="minorHAnsi"/>
          <w:color w:val="000000"/>
          <w:kern w:val="0"/>
          <w:sz w:val="28"/>
          <w:szCs w:val="28"/>
        </w:rPr>
        <w:t>messä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7FE9D668" w14:textId="0F85666D" w:rsidR="00C67F0C" w:rsidRDefault="00C67F0C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b. lisääntymisjärjestelmä</w:t>
      </w:r>
      <w:r>
        <w:rPr>
          <w:rFonts w:cstheme="minorHAnsi"/>
          <w:color w:val="000000"/>
          <w:kern w:val="0"/>
          <w:sz w:val="28"/>
          <w:szCs w:val="28"/>
        </w:rPr>
        <w:t>ssä</w:t>
      </w:r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580A7853" w14:textId="1B347E8D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ruoansulatuskanava</w:t>
      </w:r>
      <w:r w:rsidR="00C67F0C">
        <w:rPr>
          <w:rFonts w:cstheme="minorHAnsi"/>
          <w:color w:val="000000"/>
          <w:kern w:val="0"/>
          <w:sz w:val="28"/>
          <w:szCs w:val="28"/>
        </w:rPr>
        <w:t>ssa</w:t>
      </w:r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24B6DED9" w14:textId="5A242BA9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d. silm</w:t>
      </w:r>
      <w:r w:rsidR="00C67F0C">
        <w:rPr>
          <w:rFonts w:cstheme="minorHAnsi"/>
          <w:color w:val="000000"/>
          <w:kern w:val="0"/>
          <w:sz w:val="28"/>
          <w:szCs w:val="28"/>
        </w:rPr>
        <w:t>issä</w:t>
      </w:r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023B57AE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68FE461" w14:textId="5C4F603A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7. </w:t>
      </w:r>
      <w:proofErr w:type="spellStart"/>
      <w:r w:rsidRPr="004379B2">
        <w:rPr>
          <w:rFonts w:cstheme="minorHAnsi"/>
          <w:color w:val="000000"/>
          <w:kern w:val="0"/>
          <w:sz w:val="28"/>
          <w:szCs w:val="28"/>
        </w:rPr>
        <w:t>Propranololi</w:t>
      </w:r>
      <w:proofErr w:type="spellEnd"/>
      <w:r w:rsidRPr="004379B2">
        <w:rPr>
          <w:rFonts w:cstheme="minorHAnsi"/>
          <w:color w:val="000000"/>
          <w:kern w:val="0"/>
          <w:sz w:val="28"/>
          <w:szCs w:val="28"/>
        </w:rPr>
        <w:t xml:space="preserve"> on beetasalpaaja. Näin ollen se aiheutta</w:t>
      </w:r>
      <w:r w:rsidR="00C67F0C">
        <w:rPr>
          <w:rFonts w:cstheme="minorHAnsi"/>
          <w:color w:val="000000"/>
          <w:kern w:val="0"/>
          <w:sz w:val="28"/>
          <w:szCs w:val="28"/>
        </w:rPr>
        <w:t>a</w:t>
      </w:r>
    </w:p>
    <w:p w14:paraId="293923E6" w14:textId="00953A44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a. verisuonten laajenemi</w:t>
      </w:r>
      <w:r w:rsidR="00C67F0C">
        <w:rPr>
          <w:rFonts w:cstheme="minorHAnsi"/>
          <w:color w:val="000000"/>
          <w:kern w:val="0"/>
          <w:sz w:val="28"/>
          <w:szCs w:val="28"/>
        </w:rPr>
        <w:t>sta</w:t>
      </w:r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1022ED0C" w14:textId="2B7A014D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lastRenderedPageBreak/>
        <w:t>b. sykkeen hidastumi</w:t>
      </w:r>
      <w:r w:rsidR="00C67F0C">
        <w:rPr>
          <w:rFonts w:cstheme="minorHAnsi"/>
          <w:color w:val="000000"/>
          <w:kern w:val="0"/>
          <w:sz w:val="28"/>
          <w:szCs w:val="28"/>
        </w:rPr>
        <w:t>sta</w:t>
      </w:r>
    </w:p>
    <w:p w14:paraId="26ECAB92" w14:textId="05A4577C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kohonnut verenpaine</w:t>
      </w:r>
      <w:r w:rsidR="00C67F0C">
        <w:rPr>
          <w:rFonts w:cstheme="minorHAnsi"/>
          <w:color w:val="000000"/>
          <w:kern w:val="0"/>
          <w:sz w:val="28"/>
          <w:szCs w:val="28"/>
        </w:rPr>
        <w:t>tta</w:t>
      </w:r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607EBB15" w14:textId="60695BA4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d. syljen erittymi</w:t>
      </w:r>
      <w:r w:rsidR="00C67F0C">
        <w:rPr>
          <w:rFonts w:cstheme="minorHAnsi"/>
          <w:color w:val="000000"/>
          <w:kern w:val="0"/>
          <w:sz w:val="28"/>
          <w:szCs w:val="28"/>
        </w:rPr>
        <w:t>stä.</w:t>
      </w:r>
    </w:p>
    <w:p w14:paraId="30C16224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91BBA79" w14:textId="52BA6A35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8. Atropiini estää parasympaattiset hermovaikutukset. Näin ollen se aiheutta</w:t>
      </w:r>
      <w:r w:rsidR="00C67F0C">
        <w:rPr>
          <w:rFonts w:cstheme="minorHAnsi"/>
          <w:color w:val="000000"/>
          <w:kern w:val="0"/>
          <w:sz w:val="28"/>
          <w:szCs w:val="28"/>
        </w:rPr>
        <w:t>a</w:t>
      </w:r>
    </w:p>
    <w:p w14:paraId="27CD81CF" w14:textId="35E1E8B5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a. pupillien laajentumi</w:t>
      </w:r>
      <w:r w:rsidR="00C67F0C">
        <w:rPr>
          <w:rFonts w:cstheme="minorHAnsi"/>
          <w:color w:val="000000"/>
          <w:kern w:val="0"/>
          <w:sz w:val="28"/>
          <w:szCs w:val="28"/>
        </w:rPr>
        <w:t>sta</w:t>
      </w:r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11F9B17A" w14:textId="04CC1E7B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b. vähent</w:t>
      </w:r>
      <w:r w:rsidR="00C67F0C">
        <w:rPr>
          <w:rFonts w:cstheme="minorHAnsi"/>
          <w:color w:val="000000"/>
          <w:kern w:val="0"/>
          <w:sz w:val="28"/>
          <w:szCs w:val="28"/>
        </w:rPr>
        <w:t>ynyttä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limakalvoje</w:t>
      </w:r>
      <w:r w:rsidR="00C67F0C">
        <w:rPr>
          <w:rFonts w:cstheme="minorHAnsi"/>
          <w:color w:val="000000"/>
          <w:kern w:val="0"/>
          <w:sz w:val="28"/>
          <w:szCs w:val="28"/>
        </w:rPr>
        <w:t>n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eritys</w:t>
      </w:r>
      <w:r w:rsidR="00C67F0C">
        <w:rPr>
          <w:rFonts w:cstheme="minorHAnsi"/>
          <w:color w:val="000000"/>
          <w:kern w:val="0"/>
          <w:sz w:val="28"/>
          <w:szCs w:val="28"/>
        </w:rPr>
        <w:t>tä</w:t>
      </w:r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331A4F8A" w14:textId="50F432C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ruoansulatuskanavan vähenty</w:t>
      </w:r>
      <w:r w:rsidR="00C67F0C">
        <w:rPr>
          <w:rFonts w:cstheme="minorHAnsi"/>
          <w:color w:val="000000"/>
          <w:kern w:val="0"/>
          <w:sz w:val="28"/>
          <w:szCs w:val="28"/>
        </w:rPr>
        <w:t>neitä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liikke</w:t>
      </w:r>
      <w:r w:rsidR="00C67F0C">
        <w:rPr>
          <w:rFonts w:cstheme="minorHAnsi"/>
          <w:color w:val="000000"/>
          <w:kern w:val="0"/>
          <w:sz w:val="28"/>
          <w:szCs w:val="28"/>
        </w:rPr>
        <w:t>itä</w:t>
      </w:r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136A4025" w14:textId="209E2558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d. lisääntynyt</w:t>
      </w:r>
      <w:r w:rsidR="00C67F0C">
        <w:rPr>
          <w:rFonts w:cstheme="minorHAnsi"/>
          <w:color w:val="000000"/>
          <w:kern w:val="0"/>
          <w:sz w:val="28"/>
          <w:szCs w:val="28"/>
        </w:rPr>
        <w:t>tä sykettä.</w:t>
      </w:r>
    </w:p>
    <w:p w14:paraId="6E2B8B34" w14:textId="3F7F414F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e. kaikk</w:t>
      </w:r>
      <w:r w:rsidR="00C67F0C">
        <w:rPr>
          <w:rFonts w:cstheme="minorHAnsi"/>
          <w:color w:val="000000"/>
          <w:kern w:val="0"/>
          <w:sz w:val="28"/>
          <w:szCs w:val="28"/>
        </w:rPr>
        <w:t>ea näistä.</w:t>
      </w:r>
    </w:p>
    <w:p w14:paraId="17795C52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01F889A" w14:textId="6931E389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9. Mikä aivojen alue on suorimmin mukana autonomisen järjestelmän </w:t>
      </w:r>
      <w:r w:rsidR="00C67F0C">
        <w:rPr>
          <w:rFonts w:cstheme="minorHAnsi"/>
          <w:color w:val="000000"/>
          <w:kern w:val="0"/>
          <w:sz w:val="28"/>
          <w:szCs w:val="28"/>
        </w:rPr>
        <w:t>r</w:t>
      </w:r>
      <w:r w:rsidRPr="004379B2">
        <w:rPr>
          <w:rFonts w:cstheme="minorHAnsi"/>
          <w:color w:val="000000"/>
          <w:kern w:val="0"/>
          <w:sz w:val="28"/>
          <w:szCs w:val="28"/>
        </w:rPr>
        <w:t>efleksihallinnassa?</w:t>
      </w:r>
    </w:p>
    <w:p w14:paraId="34C86F30" w14:textId="39F2FB4D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a. Hypotalamus</w:t>
      </w:r>
      <w:r w:rsidR="00C67F0C">
        <w:rPr>
          <w:rFonts w:cstheme="minorHAnsi"/>
          <w:color w:val="000000"/>
          <w:kern w:val="0"/>
          <w:sz w:val="28"/>
          <w:szCs w:val="28"/>
        </w:rPr>
        <w:t>.</w:t>
      </w:r>
    </w:p>
    <w:p w14:paraId="085E45DB" w14:textId="399F8E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b. Aivokuori</w:t>
      </w:r>
      <w:r w:rsidR="00C67F0C">
        <w:rPr>
          <w:rFonts w:cstheme="minorHAnsi"/>
          <w:color w:val="000000"/>
          <w:kern w:val="0"/>
          <w:sz w:val="28"/>
          <w:szCs w:val="28"/>
        </w:rPr>
        <w:t>.</w:t>
      </w:r>
    </w:p>
    <w:p w14:paraId="23AA85A1" w14:textId="3FDF17A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C67F0C">
        <w:rPr>
          <w:rFonts w:cstheme="minorHAnsi"/>
          <w:color w:val="000000"/>
          <w:kern w:val="0"/>
          <w:sz w:val="28"/>
          <w:szCs w:val="28"/>
        </w:rPr>
        <w:t>Ydinjatkos (</w:t>
      </w:r>
      <w:proofErr w:type="spellStart"/>
      <w:r w:rsidR="00C67F0C">
        <w:rPr>
          <w:rFonts w:cstheme="minorHAnsi"/>
          <w:color w:val="000000"/>
          <w:kern w:val="0"/>
          <w:sz w:val="28"/>
          <w:szCs w:val="28"/>
        </w:rPr>
        <w:t>m</w:t>
      </w:r>
      <w:r w:rsidRPr="004379B2">
        <w:rPr>
          <w:rFonts w:cstheme="minorHAnsi"/>
          <w:color w:val="000000"/>
          <w:kern w:val="0"/>
          <w:sz w:val="28"/>
          <w:szCs w:val="28"/>
        </w:rPr>
        <w:t>edulla</w:t>
      </w:r>
      <w:proofErr w:type="spellEnd"/>
      <w:r w:rsidRPr="004379B2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Pr="004379B2">
        <w:rPr>
          <w:rFonts w:cstheme="minorHAnsi"/>
          <w:color w:val="000000"/>
          <w:kern w:val="0"/>
          <w:sz w:val="28"/>
          <w:szCs w:val="28"/>
        </w:rPr>
        <w:t>oblongata</w:t>
      </w:r>
      <w:proofErr w:type="spellEnd"/>
      <w:r w:rsidR="00C67F0C">
        <w:rPr>
          <w:rFonts w:cstheme="minorHAnsi"/>
          <w:color w:val="000000"/>
          <w:kern w:val="0"/>
          <w:sz w:val="28"/>
          <w:szCs w:val="28"/>
        </w:rPr>
        <w:t>).</w:t>
      </w:r>
    </w:p>
    <w:p w14:paraId="5FD52543" w14:textId="4ADDF3CF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d. Pikkuaivot</w:t>
      </w:r>
      <w:r w:rsidR="00C67F0C">
        <w:rPr>
          <w:rFonts w:cstheme="minorHAnsi"/>
          <w:color w:val="000000"/>
          <w:kern w:val="0"/>
          <w:sz w:val="28"/>
          <w:szCs w:val="28"/>
        </w:rPr>
        <w:t>.</w:t>
      </w:r>
    </w:p>
    <w:p w14:paraId="76A84B37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0F0368E3" w14:textId="395159AE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10. Kolinergisten reseptorien kaksi alatyyppiä </w:t>
      </w:r>
      <w:r w:rsidR="00C67F0C" w:rsidRPr="004379B2">
        <w:rPr>
          <w:rFonts w:cstheme="minorHAnsi"/>
          <w:color w:val="000000"/>
          <w:kern w:val="0"/>
          <w:sz w:val="28"/>
          <w:szCs w:val="28"/>
        </w:rPr>
        <w:t>on</w:t>
      </w:r>
      <w:r w:rsidRPr="004379B2">
        <w:rPr>
          <w:rFonts w:cstheme="minorHAnsi"/>
          <w:color w:val="000000"/>
          <w:kern w:val="0"/>
          <w:sz w:val="28"/>
          <w:szCs w:val="28"/>
        </w:rPr>
        <w:t>:</w:t>
      </w:r>
    </w:p>
    <w:p w14:paraId="10DB9560" w14:textId="56D33C6F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4379B2">
        <w:rPr>
          <w:rFonts w:cstheme="minorHAnsi"/>
          <w:color w:val="000000"/>
          <w:kern w:val="0"/>
          <w:sz w:val="28"/>
          <w:szCs w:val="28"/>
        </w:rPr>
        <w:t>adrenerginen</w:t>
      </w:r>
      <w:proofErr w:type="spellEnd"/>
      <w:r w:rsidRPr="004379B2">
        <w:rPr>
          <w:rFonts w:cstheme="minorHAnsi"/>
          <w:color w:val="000000"/>
          <w:kern w:val="0"/>
          <w:sz w:val="28"/>
          <w:szCs w:val="28"/>
        </w:rPr>
        <w:t xml:space="preserve"> ja nikotiini.</w:t>
      </w:r>
    </w:p>
    <w:p w14:paraId="52FE2D3C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4379B2">
        <w:rPr>
          <w:rFonts w:cstheme="minorHAnsi"/>
          <w:color w:val="000000"/>
          <w:kern w:val="0"/>
          <w:sz w:val="28"/>
          <w:szCs w:val="28"/>
        </w:rPr>
        <w:t>dopaminerginen</w:t>
      </w:r>
      <w:proofErr w:type="spellEnd"/>
      <w:r w:rsidRPr="004379B2">
        <w:rPr>
          <w:rFonts w:cstheme="minorHAnsi"/>
          <w:color w:val="000000"/>
          <w:kern w:val="0"/>
          <w:sz w:val="28"/>
          <w:szCs w:val="28"/>
        </w:rPr>
        <w:t xml:space="preserve"> ja muskariini.</w:t>
      </w:r>
    </w:p>
    <w:p w14:paraId="7C1A3AD3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nikotiini ja muskariini.</w:t>
      </w:r>
    </w:p>
    <w:p w14:paraId="154F9D4D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d. nikotiini ja </w:t>
      </w:r>
      <w:proofErr w:type="spellStart"/>
      <w:r w:rsidRPr="004379B2">
        <w:rPr>
          <w:rFonts w:cstheme="minorHAnsi"/>
          <w:color w:val="000000"/>
          <w:kern w:val="0"/>
          <w:sz w:val="28"/>
          <w:szCs w:val="28"/>
        </w:rPr>
        <w:t>dopaminerginen</w:t>
      </w:r>
      <w:proofErr w:type="spellEnd"/>
      <w:r w:rsidRPr="004379B2">
        <w:rPr>
          <w:rFonts w:cstheme="minorHAnsi"/>
          <w:color w:val="000000"/>
          <w:kern w:val="0"/>
          <w:sz w:val="28"/>
          <w:szCs w:val="28"/>
        </w:rPr>
        <w:t>.</w:t>
      </w:r>
    </w:p>
    <w:p w14:paraId="77EE80E7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0B26D6BE" w14:textId="21105422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11. Syklisen AMP: n lasku kohdesolussa tapahtuu, kun noradrenaliini sitoutuu mihin adrenergisistä reseptoreista</w:t>
      </w:r>
      <w:r w:rsidR="00C67F0C">
        <w:rPr>
          <w:rFonts w:cstheme="minorHAnsi"/>
          <w:color w:val="000000"/>
          <w:kern w:val="0"/>
          <w:sz w:val="28"/>
          <w:szCs w:val="28"/>
        </w:rPr>
        <w:t xml:space="preserve"> reseptorityyppiin…</w:t>
      </w:r>
    </w:p>
    <w:p w14:paraId="33E6C187" w14:textId="0EF47C76" w:rsidR="00C67F0C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  <w:vertAlign w:val="subscript"/>
        </w:rPr>
      </w:pPr>
      <w:r w:rsidRPr="00C67F0C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C67F0C">
        <w:rPr>
          <w:rFonts w:cstheme="minorHAnsi"/>
          <w:color w:val="000000"/>
          <w:kern w:val="0"/>
          <w:sz w:val="28"/>
          <w:szCs w:val="28"/>
        </w:rPr>
        <w:t>α</w:t>
      </w:r>
      <w:r w:rsidR="00C67F0C" w:rsidRPr="00C67F0C">
        <w:rPr>
          <w:rFonts w:cstheme="minorHAnsi"/>
          <w:color w:val="000000"/>
          <w:kern w:val="0"/>
          <w:sz w:val="28"/>
          <w:szCs w:val="28"/>
          <w:vertAlign w:val="subscript"/>
        </w:rPr>
        <w:t>1</w:t>
      </w:r>
    </w:p>
    <w:p w14:paraId="7799AD85" w14:textId="04F6E67A" w:rsidR="00C67F0C" w:rsidRPr="00C67F0C" w:rsidRDefault="00C67F0C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  <w:vertAlign w:val="subscript"/>
        </w:rPr>
      </w:pPr>
      <w:r w:rsidRPr="00C67F0C">
        <w:rPr>
          <w:rFonts w:cstheme="minorHAnsi"/>
          <w:color w:val="000000"/>
          <w:kern w:val="0"/>
          <w:sz w:val="28"/>
          <w:szCs w:val="28"/>
        </w:rPr>
        <w:t xml:space="preserve">b. </w:t>
      </w:r>
      <w:r>
        <w:rPr>
          <w:rFonts w:cstheme="minorHAnsi"/>
          <w:color w:val="000000"/>
          <w:kern w:val="0"/>
          <w:sz w:val="28"/>
          <w:szCs w:val="28"/>
        </w:rPr>
        <w:t>α</w:t>
      </w:r>
      <w:r>
        <w:rPr>
          <w:rFonts w:cstheme="minorHAnsi"/>
          <w:color w:val="000000"/>
          <w:kern w:val="0"/>
          <w:sz w:val="28"/>
          <w:szCs w:val="28"/>
          <w:vertAlign w:val="subscript"/>
        </w:rPr>
        <w:t>2</w:t>
      </w:r>
    </w:p>
    <w:p w14:paraId="6C08DB96" w14:textId="5D142290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  <w:vertAlign w:val="subscript"/>
        </w:rPr>
      </w:pPr>
      <w:r w:rsidRPr="00C67F0C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C67F0C">
        <w:rPr>
          <w:rFonts w:cstheme="minorHAnsi"/>
          <w:color w:val="000000"/>
          <w:kern w:val="0"/>
          <w:sz w:val="28"/>
          <w:szCs w:val="28"/>
          <w:lang w:val="en-US"/>
        </w:rPr>
        <w:t>β</w:t>
      </w:r>
      <w:r w:rsidR="00C67F0C" w:rsidRPr="00C67F0C">
        <w:rPr>
          <w:rFonts w:cstheme="minorHAnsi"/>
          <w:color w:val="000000"/>
          <w:kern w:val="0"/>
          <w:sz w:val="28"/>
          <w:szCs w:val="28"/>
          <w:vertAlign w:val="subscript"/>
        </w:rPr>
        <w:t>1</w:t>
      </w:r>
    </w:p>
    <w:p w14:paraId="2ADCFBE9" w14:textId="556DC5B5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  <w:vertAlign w:val="subscript"/>
        </w:rPr>
      </w:pPr>
      <w:r w:rsidRPr="00C67F0C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C67F0C">
        <w:rPr>
          <w:rFonts w:cstheme="minorHAnsi"/>
          <w:color w:val="000000"/>
          <w:kern w:val="0"/>
          <w:sz w:val="28"/>
          <w:szCs w:val="28"/>
          <w:lang w:val="en-US"/>
        </w:rPr>
        <w:t>β</w:t>
      </w:r>
      <w:r w:rsidR="00C67F0C" w:rsidRPr="00C67F0C">
        <w:rPr>
          <w:rFonts w:cstheme="minorHAnsi"/>
          <w:color w:val="000000"/>
          <w:kern w:val="0"/>
          <w:sz w:val="28"/>
          <w:szCs w:val="28"/>
          <w:vertAlign w:val="subscript"/>
        </w:rPr>
        <w:t>2</w:t>
      </w:r>
    </w:p>
    <w:p w14:paraId="3DD44336" w14:textId="77777777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AB8DB34" w14:textId="369B291A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12. Lääkettä, joka toimii agonistina </w:t>
      </w:r>
      <w:r w:rsidR="00C67F0C">
        <w:rPr>
          <w:rFonts w:cstheme="minorHAnsi"/>
          <w:color w:val="000000"/>
          <w:kern w:val="0"/>
          <w:sz w:val="28"/>
          <w:szCs w:val="28"/>
        </w:rPr>
        <w:t>α</w:t>
      </w:r>
      <w:r w:rsidR="00C67F0C">
        <w:rPr>
          <w:rFonts w:cstheme="minorHAnsi"/>
          <w:color w:val="000000"/>
          <w:kern w:val="0"/>
          <w:sz w:val="28"/>
          <w:szCs w:val="28"/>
          <w:vertAlign w:val="subscript"/>
        </w:rPr>
        <w:t xml:space="preserve">2 </w:t>
      </w:r>
      <w:r w:rsidRPr="004379B2">
        <w:rPr>
          <w:rFonts w:cstheme="minorHAnsi"/>
          <w:color w:val="000000"/>
          <w:kern w:val="0"/>
          <w:sz w:val="28"/>
          <w:szCs w:val="28"/>
        </w:rPr>
        <w:t>-reseptorille, voidaan käyttää:</w:t>
      </w:r>
    </w:p>
    <w:p w14:paraId="20BE579F" w14:textId="2BDA0B0C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a. lisä</w:t>
      </w:r>
      <w:r w:rsidR="00C67F0C">
        <w:rPr>
          <w:rFonts w:cstheme="minorHAnsi"/>
          <w:color w:val="000000"/>
          <w:kern w:val="0"/>
          <w:sz w:val="28"/>
          <w:szCs w:val="28"/>
        </w:rPr>
        <w:t>äm</w:t>
      </w:r>
      <w:r w:rsidRPr="004379B2">
        <w:rPr>
          <w:rFonts w:cstheme="minorHAnsi"/>
          <w:color w:val="000000"/>
          <w:kern w:val="0"/>
          <w:sz w:val="28"/>
          <w:szCs w:val="28"/>
        </w:rPr>
        <w:t>ä</w:t>
      </w:r>
      <w:r w:rsidR="00C67F0C">
        <w:rPr>
          <w:rFonts w:cstheme="minorHAnsi"/>
          <w:color w:val="000000"/>
          <w:kern w:val="0"/>
          <w:sz w:val="28"/>
          <w:szCs w:val="28"/>
        </w:rPr>
        <w:t>än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sykettä.</w:t>
      </w:r>
    </w:p>
    <w:p w14:paraId="413440CF" w14:textId="2D09E574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b. hidasta</w:t>
      </w:r>
      <w:r w:rsidR="00C67F0C">
        <w:rPr>
          <w:rFonts w:cstheme="minorHAnsi"/>
          <w:color w:val="000000"/>
          <w:kern w:val="0"/>
          <w:sz w:val="28"/>
          <w:szCs w:val="28"/>
        </w:rPr>
        <w:t>maan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sykettä.</w:t>
      </w:r>
    </w:p>
    <w:p w14:paraId="0CA71B12" w14:textId="0A1C9253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c. laajenta</w:t>
      </w:r>
      <w:r w:rsidR="00C67F0C">
        <w:rPr>
          <w:rFonts w:cstheme="minorHAnsi"/>
          <w:color w:val="000000"/>
          <w:kern w:val="0"/>
          <w:sz w:val="28"/>
          <w:szCs w:val="28"/>
        </w:rPr>
        <w:t>maan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keuhkoputket.</w:t>
      </w:r>
    </w:p>
    <w:p w14:paraId="01C63B2A" w14:textId="562C31A5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d. supista</w:t>
      </w:r>
      <w:r w:rsidR="00C67F0C">
        <w:rPr>
          <w:rFonts w:cstheme="minorHAnsi"/>
          <w:color w:val="000000"/>
          <w:kern w:val="0"/>
          <w:sz w:val="28"/>
          <w:szCs w:val="28"/>
        </w:rPr>
        <w:t>maan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keuhkoputket.</w:t>
      </w:r>
    </w:p>
    <w:p w14:paraId="4F633573" w14:textId="5E23C36F" w:rsidR="004379B2" w:rsidRPr="00C67F0C" w:rsidRDefault="004379B2" w:rsidP="004379B2">
      <w:pPr>
        <w:rPr>
          <w:rFonts w:cstheme="minorHAnsi"/>
          <w:color w:val="000000"/>
          <w:kern w:val="0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>e. supista</w:t>
      </w:r>
      <w:r w:rsidR="00C67F0C">
        <w:rPr>
          <w:rFonts w:cstheme="minorHAnsi"/>
          <w:color w:val="000000"/>
          <w:kern w:val="0"/>
          <w:sz w:val="28"/>
          <w:szCs w:val="28"/>
        </w:rPr>
        <w:t>maan</w:t>
      </w:r>
      <w:r w:rsidRPr="004379B2">
        <w:rPr>
          <w:rFonts w:cstheme="minorHAnsi"/>
          <w:color w:val="000000"/>
          <w:kern w:val="0"/>
          <w:sz w:val="28"/>
          <w:szCs w:val="28"/>
        </w:rPr>
        <w:t xml:space="preserve"> verisuonia.</w:t>
      </w:r>
    </w:p>
    <w:p w14:paraId="4C3D9B10" w14:textId="77777777" w:rsidR="004379B2" w:rsidRPr="00C67F0C" w:rsidRDefault="004379B2" w:rsidP="004379B2">
      <w:pPr>
        <w:rPr>
          <w:rFonts w:cstheme="minorHAnsi"/>
          <w:color w:val="000000"/>
          <w:kern w:val="0"/>
          <w:sz w:val="28"/>
          <w:szCs w:val="28"/>
        </w:rPr>
      </w:pPr>
    </w:p>
    <w:p w14:paraId="304D490A" w14:textId="06970CBE" w:rsidR="004379B2" w:rsidRPr="00C67F0C" w:rsidRDefault="004379B2" w:rsidP="004379B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379B2">
        <w:rPr>
          <w:rFonts w:cstheme="minorHAnsi"/>
          <w:color w:val="000000"/>
          <w:kern w:val="0"/>
          <w:sz w:val="28"/>
          <w:szCs w:val="28"/>
        </w:rPr>
        <w:t xml:space="preserve">Vastaus: </w:t>
      </w:r>
      <w:r w:rsidRPr="004379B2">
        <w:rPr>
          <w:rFonts w:cstheme="minorHAnsi"/>
          <w:kern w:val="0"/>
          <w:sz w:val="28"/>
          <w:szCs w:val="28"/>
        </w:rPr>
        <w:t>1. c 2. c 3. c 4. a 5. c 6. b 7. b 8. e 9. c 10. c 11. b 12. b</w:t>
      </w:r>
    </w:p>
    <w:sectPr w:rsidR="004379B2" w:rsidRPr="00C67F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9B2"/>
    <w:rsid w:val="004379B2"/>
    <w:rsid w:val="009D769F"/>
    <w:rsid w:val="00C67F0C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A212"/>
  <w15:chartTrackingRefBased/>
  <w15:docId w15:val="{4166E11E-80EC-413C-A0C2-7AAFA110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67F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2095</Characters>
  <Application>Microsoft Office Word</Application>
  <DocSecurity>0</DocSecurity>
  <Lines>17</Lines>
  <Paragraphs>4</Paragraphs>
  <ScaleCrop>false</ScaleCrop>
  <Company>Laurea University of Applied Sciences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2024-05-09T10:20:00Z</dcterms:created>
  <dcterms:modified xsi:type="dcterms:W3CDTF">2024-05-09T10:35:00Z</dcterms:modified>
</cp:coreProperties>
</file>